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 xml:space="preserve">BIBIANA SERRANO </w:t>
      </w:r>
    </w:p>
    <w:p>
      <w:pPr>
        <w:pStyle w:val="Normal"/>
        <w:spacing w:lineRule="auto" w:line="240"/>
        <w:jc w:val="both"/>
        <w:rPr/>
      </w:pPr>
      <w:r>
        <w:rPr>
          <w:rFonts w:cs="Arial" w:ascii="Arial" w:hAnsi="Arial"/>
        </w:rPr>
        <w:t xml:space="preserve">Cra 83 </w:t>
      </w:r>
      <w:r>
        <w:rPr>
          <w:rFonts w:cs="Arial" w:ascii="Arial" w:hAnsi="Arial"/>
        </w:rPr>
        <w:t>#</w:t>
      </w:r>
      <w:r>
        <w:rPr>
          <w:rFonts w:cs="Arial" w:ascii="Arial" w:hAnsi="Arial"/>
        </w:rPr>
        <w:t xml:space="preserve"> 13A - 150 </w:t>
      </w:r>
    </w:p>
    <w:p>
      <w:pPr>
        <w:pStyle w:val="Normal"/>
        <w:spacing w:lineRule="auto" w:line="240"/>
        <w:jc w:val="both"/>
        <w:rPr/>
      </w:pPr>
      <w:r>
        <w:rPr>
          <w:rFonts w:cs="Arial" w:ascii="Arial" w:hAnsi="Arial"/>
        </w:rPr>
        <w:t xml:space="preserve">Barrio Ingenio 1- </w:t>
      </w:r>
      <w:r>
        <w:rPr>
          <w:rFonts w:cs="Arial" w:ascii="Arial" w:hAnsi="Arial"/>
        </w:rPr>
        <w:t>Comuna17</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Asunto: Respuesta a petición_prolifera</w:t>
      </w:r>
      <w:r>
        <w:rPr>
          <w:rFonts w:eastAsia="Arial Unicode MS" w:cs="Arial" w:ascii="Arial" w:hAnsi="Arial"/>
          <w:color w:val="auto"/>
          <w:kern w:val="2"/>
          <w:sz w:val="24"/>
          <w:szCs w:val="24"/>
          <w:lang w:val="es-CO" w:eastAsia="ar-SA" w:bidi="ar-SA"/>
        </w:rPr>
        <w:t xml:space="preserve">ción crecimiento de insectos tipo zancudo por temporada invernal. </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No.202541730100389312 ,</w:t>
      </w:r>
      <w:r>
        <w:rPr>
          <w:rFonts w:eastAsia="Arial" w:cs="Arial" w:ascii="Arial" w:hAnsi="Arial"/>
          <w:b w:val="false"/>
          <w:i w:val="false"/>
          <w:caps w:val="false"/>
          <w:smallCaps w:val="false"/>
          <w:strike w:val="false"/>
          <w:dstrike w:val="false"/>
          <w:color w:val="000000"/>
          <w:u w:val="none"/>
        </w:rPr>
        <w:t xml:space="preserve"> se comunica </w:t>
      </w:r>
      <w:r>
        <w:rPr>
          <w:rFonts w:eastAsia="Arial" w:cs="Arial" w:ascii="Arial" w:hAnsi="Arial"/>
          <w:b w:val="false"/>
          <w:i w:val="false"/>
          <w:caps w:val="false"/>
          <w:smallCaps w:val="false"/>
          <w:strike w:val="false"/>
          <w:dstrike w:val="false"/>
          <w:color w:val="000000"/>
          <w:u w:val="none"/>
        </w:rPr>
        <w:t>que en referencia al asunto, es importante resaltar que de acuerdo a la Ley 9 de 1979, que es la norma marco de las acciones de carácter sanitario que contribuyen en la preservación, restauración y mejoramiento de las condiciones sanitarias relacionadas con la salud humana, donde se establecen las normas generales para los productos, servicios y establecimientos objetos de inspección y vigilancia, así como los procedimientos y medidas sanitarias que se debe aplicar para su control (artículos 198 y 207) y a la Resolución 1229 de 2013 “</w:t>
      </w:r>
      <w:r>
        <w:rPr>
          <w:rFonts w:eastAsia="Arial" w:cs="Arial" w:ascii="Arial" w:hAnsi="Arial"/>
          <w:b w:val="false"/>
          <w:i/>
          <w:caps w:val="false"/>
          <w:smallCaps w:val="false"/>
          <w:strike w:val="false"/>
          <w:dstrike w:val="false"/>
          <w:color w:val="000000"/>
          <w:u w:val="none"/>
        </w:rPr>
        <w:t>Por la cual se establece el modelo de inspección, vigilancia y control sanitario para los productos de uso y consumo humano</w:t>
      </w:r>
      <w:r>
        <w:rPr>
          <w:rFonts w:eastAsia="Arial" w:cs="Arial" w:ascii="Arial" w:hAnsi="Arial"/>
          <w:b w:val="false"/>
          <w:i w:val="false"/>
          <w:caps w:val="false"/>
          <w:smallCaps w:val="false"/>
          <w:strike w:val="false"/>
          <w:dstrike w:val="false"/>
          <w:color w:val="000000"/>
          <w:u w:val="none"/>
        </w:rPr>
        <w:t>”; donde se define que los “</w:t>
      </w:r>
      <w:r>
        <w:rPr>
          <w:rFonts w:eastAsia="Arial" w:cs="Arial" w:ascii="Arial" w:hAnsi="Arial"/>
          <w:b w:val="false"/>
          <w:i/>
          <w:caps w:val="false"/>
          <w:smallCaps w:val="false"/>
          <w:strike w:val="false"/>
          <w:dstrike w:val="false"/>
          <w:color w:val="000000"/>
          <w:u w:val="none"/>
        </w:rPr>
        <w:t xml:space="preserve">Sujetos de inspección, vigilancia y control sanitario son las personas naturales y jurídicas, organizaciones e instituciones obligadas a proteger la salud pública y garantizar la seguridad sanitaria a través de su desempeño…” </w:t>
      </w:r>
      <w:r>
        <w:rPr>
          <w:rFonts w:eastAsia="Arial" w:cs="Arial" w:ascii="Arial" w:hAnsi="Arial"/>
          <w:b w:val="false"/>
          <w:i w:val="false"/>
          <w:caps w:val="false"/>
          <w:smallCaps w:val="false"/>
          <w:strike w:val="false"/>
          <w:dstrike w:val="false"/>
          <w:color w:val="000000"/>
          <w:u w:val="none"/>
        </w:rPr>
        <w:t>(artículo 4), los establecimientos deben aplicar las medidas preventivas y/o correctivas si es el caso, con el fin de cumplir con las condiciones higiénico sanitarias; lo cual incluye el componente integral de vectores.</w:t>
      </w:r>
    </w:p>
    <w:p>
      <w:pPr>
        <w:pStyle w:val="LOnormal"/>
        <w:spacing w:lineRule="auto" w:line="276" w:before="0" w:after="120"/>
        <w:ind w:left="0" w:right="0" w:hanging="0"/>
        <w:rPr>
          <w:rFonts w:eastAsia="Times New Roman"/>
          <w:b w:val="false"/>
          <w:b w:val="false"/>
          <w:i w:val="false"/>
          <w:i w:val="false"/>
          <w:caps w:val="false"/>
          <w:smallCaps w:val="false"/>
          <w:strike w:val="false"/>
          <w:dstrike w:val="false"/>
          <w:color w:val="000000"/>
          <w:u w:val="none"/>
        </w:rPr>
      </w:pPr>
      <w:r>
        <w:rPr>
          <w:rFonts w:eastAsia="Times New Roman"/>
          <w:b w:val="false"/>
          <w:i w:val="false"/>
          <w:caps w:val="false"/>
          <w:smallCaps w:val="false"/>
          <w:strike w:val="false"/>
          <w:dstrike w:val="false"/>
          <w:color w:val="000000"/>
          <w:u w:val="none"/>
        </w:rPr>
      </w:r>
    </w:p>
    <w:p>
      <w:pPr>
        <w:pStyle w:val="LOnormal"/>
        <w:spacing w:lineRule="auto" w:line="276"/>
        <w:ind w:left="0" w:right="0" w:hanging="0"/>
        <w:jc w:val="both"/>
        <w:rPr/>
      </w:pPr>
      <w:r>
        <w:rPr>
          <w:rFonts w:eastAsia="Arial" w:cs="Arial" w:ascii="Arial" w:hAnsi="Arial"/>
          <w:b w:val="false"/>
          <w:i w:val="false"/>
          <w:caps w:val="false"/>
          <w:smallCaps w:val="false"/>
          <w:strike w:val="false"/>
          <w:dstrike w:val="false"/>
          <w:color w:val="000000"/>
          <w:u w:val="none"/>
          <w:shd w:fill="FFFFFF" w:val="clear"/>
        </w:rPr>
        <w:t>Teniendo en cuenta lo anterior, se informa que las funciones de este organismo no se extienden a la prestación de servicios de fumigación a establecimientos. Las acciones  de los funcionarios designados por la Secretaría de Salud del Distrito Especial de Santiago de Cali se enfocan en verificar que los establecimientos objeto de inspección, vigilancia y control cumplan con las condiciones establecidas en la ley y los reglamentos correspondientes. Estas acciones se enmarcan en las competencias designadas a las autoridades de salud en el ámbito territorial a través de la Ley 715 de 2001 "</w:t>
      </w:r>
      <w:r>
        <w:rPr>
          <w:rFonts w:eastAsia="Arial" w:cs="Arial" w:ascii="Arial" w:hAnsi="Arial"/>
          <w:b w:val="false"/>
          <w:i/>
          <w:caps w:val="false"/>
          <w:smallCaps w:val="false"/>
          <w:strike w:val="false"/>
          <w:dstrike w:val="false"/>
          <w:color w:val="000000"/>
          <w:u w:val="none"/>
          <w:shd w:fill="FFFFFF" w:val="clear"/>
        </w:rPr>
        <w:t>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r>
        <w:rPr>
          <w:rFonts w:eastAsia="Arial" w:cs="Arial" w:ascii="Arial" w:hAnsi="Arial"/>
          <w:b w:val="false"/>
          <w:i w:val="false"/>
          <w:caps w:val="false"/>
          <w:smallCaps w:val="false"/>
          <w:strike w:val="false"/>
          <w:dstrike w:val="false"/>
          <w:color w:val="000000"/>
          <w:u w:val="none"/>
          <w:shd w:fill="FFFFFF" w:val="clear"/>
        </w:rPr>
        <w:t>", en su artículo 44.3.5.</w:t>
      </w:r>
    </w:p>
    <w:p>
      <w:pPr>
        <w:pStyle w:val="LOnormal"/>
        <w:spacing w:lineRule="auto" w:line="276"/>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76"/>
        <w:ind w:left="0" w:right="0" w:hanging="0"/>
        <w:jc w:val="both"/>
        <w:rPr/>
      </w:pPr>
      <w:r>
        <w:rPr>
          <w:rFonts w:eastAsia="Arial" w:cs="Arial" w:ascii="Arial" w:hAnsi="Arial"/>
          <w:b w:val="false"/>
          <w:i w:val="false"/>
          <w:caps w:val="false"/>
          <w:smallCaps w:val="false"/>
          <w:strike w:val="false"/>
          <w:dstrike w:val="false"/>
          <w:color w:val="000000"/>
          <w:u w:val="none"/>
        </w:rPr>
        <w:t xml:space="preserve">Es importante saber, que la mejor manera de controlar la transmisión es evitar criaderos del vector </w:t>
      </w:r>
      <w:r>
        <w:rPr>
          <w:rFonts w:eastAsia="Arial" w:cs="Arial" w:ascii="Arial" w:hAnsi="Arial"/>
          <w:b w:val="false"/>
          <w:i/>
          <w:caps w:val="false"/>
          <w:smallCaps w:val="false"/>
          <w:strike w:val="false"/>
          <w:dstrike w:val="false"/>
          <w:color w:val="000000"/>
          <w:u w:val="none"/>
        </w:rPr>
        <w:t>Aedes aegypti</w:t>
      </w:r>
      <w:r>
        <w:rPr>
          <w:rFonts w:eastAsia="Arial" w:cs="Arial" w:ascii="Arial" w:hAnsi="Arial"/>
          <w:b w:val="false"/>
          <w:i w:val="false"/>
          <w:caps w:val="false"/>
          <w:smallCaps w:val="false"/>
          <w:strike w:val="false"/>
          <w:dstrike w:val="false"/>
          <w:color w:val="000000"/>
          <w:u w:val="none"/>
        </w:rPr>
        <w:t xml:space="preserve">, pues la fumigación solo actúa sobre los zancudos que tengan contacto con el insecticida, pero si hay criaderos en la edificación, es posible que al día siguiente haya nuevamente zancudos. Por lo tanto, se </w:t>
      </w:r>
      <w:r>
        <w:rPr>
          <w:rFonts w:eastAsia="Arial" w:cs="Arial" w:ascii="Arial" w:hAnsi="Arial"/>
        </w:rPr>
        <w:t>debe</w:t>
      </w:r>
      <w:r>
        <w:rPr>
          <w:rFonts w:eastAsia="Arial" w:cs="Arial" w:ascii="Arial" w:hAnsi="Arial"/>
          <w:b w:val="false"/>
          <w:i w:val="false"/>
          <w:caps w:val="false"/>
          <w:smallCaps w:val="false"/>
          <w:strike w:val="false"/>
          <w:dstrike w:val="false"/>
          <w:color w:val="000000"/>
          <w:u w:val="none"/>
        </w:rPr>
        <w:t>:</w:t>
      </w:r>
    </w:p>
    <w:p>
      <w:pPr>
        <w:pStyle w:val="LOnormal"/>
        <w:spacing w:lineRule="auto" w:line="276"/>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1. Inspeccionar semanalmente las viviendas para eliminar depósitos con agua,  donde se pueda criar el vector. </w:t>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2. Lavar y cepillar tanques cada 8 días para eliminar los huevos del mosquito de las  paredes. </w:t>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3. Cambiar frecuentemente el agua de los bebederos de animales. 4. Sembrar las plantas en tierra y evitar tenerlas en agua.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56" w:after="56"/>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LOnormal"/>
        <w:widowControl w:val="false"/>
        <w:tabs>
          <w:tab w:val="clear" w:pos="709"/>
          <w:tab w:val="left" w:pos="450" w:leader="none"/>
        </w:tabs>
        <w:suppressAutoHyphens w:val="true"/>
        <w:bidi w:val="0"/>
        <w:spacing w:lineRule="auto" w:line="276" w:before="0" w:after="0"/>
        <w:ind w:left="39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r>
    </w:p>
    <w:p>
      <w:pPr>
        <w:pStyle w:val="LOnormal"/>
        <w:spacing w:lineRule="auto" w:line="276"/>
        <w:ind w:left="0" w:right="0" w:hanging="0"/>
        <w:jc w:val="both"/>
        <w:rPr>
          <w:rFonts w:eastAsia="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Finalmente, se asignará personal del Subgrupo de Enfermedades Transmitidas por Vectores ETV, para que realice una visita de verificación sanitaria.</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pacing w:beforeAutospacing="0" w:before="0" w:after="0"/>
        <w:rPr>
          <w:rFonts w:ascii="Arial" w:hAnsi="Arial" w:cs="Arial"/>
          <w:sz w:val="16"/>
          <w:szCs w:val="16"/>
          <w:lang w:val="es-ES"/>
        </w:rPr>
      </w:pPr>
      <w:r>
        <w:rPr/>
      </w:r>
    </w:p>
    <w:p>
      <w:pPr>
        <w:pStyle w:val="NormalWeb"/>
        <w:spacing w:beforeAutospacing="0" w:before="0" w:after="0"/>
        <w:rPr/>
      </w:pPr>
      <w:r>
        <w:rPr>
          <w:rFonts w:cs="Arial" w:ascii="Arial" w:hAnsi="Arial"/>
          <w:sz w:val="16"/>
          <w:szCs w:val="16"/>
          <w:lang w:val="es-ES"/>
        </w:rPr>
        <w:t xml:space="preserve">Proyectó: </w:t>
      </w:r>
      <w:r>
        <w:rPr>
          <w:rFonts w:cs="Arial" w:ascii="Arial" w:hAnsi="Arial"/>
          <w:sz w:val="16"/>
          <w:szCs w:val="16"/>
          <w:lang w:val="es-ES"/>
        </w:rPr>
        <w:t>Clara Inés Solis Sandoval- Contratista.</w:t>
      </w:r>
    </w:p>
    <w:p>
      <w:pPr>
        <w:pStyle w:val="NormalWeb"/>
        <w:spacing w:beforeAutospacing="0" w:before="0" w:after="0"/>
        <w:rPr/>
      </w:pP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Dahiana Quintero Echeverry- Contratista.</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3">
        <w:r>
          <w:rPr>
            <w:rStyle w:val="EnlacedeInternet"/>
            <w:rFonts w:cs="Arial" w:ascii="Arial" w:hAnsi="Arial"/>
            <w:sz w:val="16"/>
            <w:szCs w:val="16"/>
            <w:shd w:fill="FFFFFF" w:val="clear"/>
          </w:rPr>
          <w:drawing>
            <wp:anchor behindDoc="0" distT="0" distB="0" distL="0" distR="0" simplePos="0" locked="0" layoutInCell="0" allowOverlap="1" relativeHeight="11">
              <wp:simplePos x="0" y="0"/>
              <wp:positionH relativeFrom="column">
                <wp:posOffset>5352415</wp:posOffset>
              </wp:positionH>
              <wp:positionV relativeFrom="paragraph">
                <wp:posOffset>351790</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4"/>
                      <a:stretch>
                        <a:fillRect/>
                      </a:stretch>
                    </pic:blipFill>
                    <pic:spPr bwMode="auto">
                      <a:xfrm>
                        <a:off x="0" y="0"/>
                        <a:ext cx="563245" cy="565785"/>
                      </a:xfrm>
                      <a:prstGeom prst="rect">
                        <a:avLst/>
                      </a:prstGeom>
                    </pic:spPr>
                  </pic:pic>
                </a:graphicData>
              </a:graphic>
            </wp:anchor>
          </w:drawing>
        </w:r>
      </w:hyperlink>
      <w:r>
        <w:rPr>
          <w:rStyle w:val="EnlacedeInternet"/>
          <w:rFonts w:cs="Arial" w:ascii="Arial" w:hAnsi="Arial"/>
          <w:sz w:val="16"/>
          <w:szCs w:val="16"/>
          <w:shd w:fill="FFFFFF" w:val="clear"/>
        </w:rPr>
        <w:t>http://www.cali.gov.co/aplicaciones/encuestas_ciudadano/view_encuesta_satisfaccion.php</w:t>
      </w:r>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3" wp14:anchorId="35C5AF76">
              <wp:simplePos x="0" y="0"/>
              <wp:positionH relativeFrom="column">
                <wp:posOffset>6985</wp:posOffset>
              </wp:positionH>
              <wp:positionV relativeFrom="paragraph">
                <wp:posOffset>7265035</wp:posOffset>
              </wp:positionV>
              <wp:extent cx="1043305" cy="5715"/>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5">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7">
              <wp:simplePos x="0" y="0"/>
              <wp:positionH relativeFrom="margin">
                <wp:posOffset>3402965</wp:posOffset>
              </wp:positionH>
              <wp:positionV relativeFrom="paragraph">
                <wp:posOffset>33020</wp:posOffset>
              </wp:positionV>
              <wp:extent cx="2530475" cy="1021715"/>
              <wp:effectExtent l="0" t="0" r="0" b="0"/>
              <wp:wrapSquare wrapText="bothSides"/>
              <wp:docPr id="3"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image" Target="media/image2.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Application>LibreOffice/7.0.3.1$Windows_X86_64 LibreOffice_project/d7547858d014d4cf69878db179d326fc3483e082</Application>
  <Pages>2</Pages>
  <Words>748</Words>
  <Characters>4184</Characters>
  <CharactersWithSpaces>4924</CharactersWithSpaces>
  <Paragraphs>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2025-03-05T11:59:19Z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